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EF3E" w14:textId="2067D29A" w:rsidR="00F00D01" w:rsidRDefault="00F00D01" w:rsidP="006A57EF"/>
    <w:p w14:paraId="755BE4B5" w14:textId="437F9464" w:rsidR="006A57EF" w:rsidRDefault="006A57EF" w:rsidP="006A57EF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Villavicencio, 2</w:t>
      </w:r>
      <w:r w:rsidR="006A0C2B">
        <w:rPr>
          <w:rFonts w:ascii="Arial" w:hAnsi="Arial" w:cs="Arial"/>
          <w:color w:val="080808"/>
        </w:rPr>
        <w:t>9</w:t>
      </w:r>
      <w:r>
        <w:rPr>
          <w:rFonts w:ascii="Arial" w:hAnsi="Arial" w:cs="Arial"/>
          <w:color w:val="080808"/>
        </w:rPr>
        <w:t xml:space="preserve"> de </w:t>
      </w:r>
      <w:proofErr w:type="gramStart"/>
      <w:r>
        <w:rPr>
          <w:rFonts w:ascii="Arial" w:hAnsi="Arial" w:cs="Arial"/>
          <w:color w:val="080808"/>
        </w:rPr>
        <w:t>Marzo</w:t>
      </w:r>
      <w:proofErr w:type="gramEnd"/>
      <w:r>
        <w:rPr>
          <w:rFonts w:ascii="Arial" w:hAnsi="Arial" w:cs="Arial"/>
          <w:color w:val="080808"/>
        </w:rPr>
        <w:t xml:space="preserve"> del 2021</w:t>
      </w:r>
    </w:p>
    <w:p w14:paraId="0731C03C" w14:textId="045C5815" w:rsidR="006A57EF" w:rsidRDefault="006A57EF" w:rsidP="006A57EF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080808"/>
        </w:rPr>
      </w:pPr>
    </w:p>
    <w:p w14:paraId="388AE1D4" w14:textId="62BA37DD" w:rsidR="006A57EF" w:rsidRDefault="006A57EF" w:rsidP="006A57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 xml:space="preserve">Señores; </w:t>
      </w:r>
    </w:p>
    <w:p w14:paraId="1CFDFCA4" w14:textId="105D46E9" w:rsidR="006A57EF" w:rsidRPr="006A57EF" w:rsidRDefault="006A57EF" w:rsidP="006A57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80808"/>
        </w:rPr>
      </w:pPr>
      <w:r w:rsidRPr="006A57EF">
        <w:rPr>
          <w:rFonts w:ascii="Arial" w:hAnsi="Arial" w:cs="Arial"/>
          <w:b/>
          <w:bCs/>
          <w:color w:val="080808"/>
        </w:rPr>
        <w:t>Subdirecciones</w:t>
      </w:r>
      <w:r w:rsidR="006A0C2B">
        <w:rPr>
          <w:rFonts w:ascii="Arial" w:hAnsi="Arial" w:cs="Arial"/>
          <w:b/>
          <w:bCs/>
          <w:color w:val="080808"/>
        </w:rPr>
        <w:t>;</w:t>
      </w:r>
      <w:r w:rsidRPr="006A57EF">
        <w:rPr>
          <w:rFonts w:ascii="Arial" w:hAnsi="Arial" w:cs="Arial"/>
          <w:b/>
          <w:bCs/>
          <w:color w:val="080808"/>
        </w:rPr>
        <w:t xml:space="preserve"> Administrativa</w:t>
      </w:r>
      <w:r w:rsidR="00F56780">
        <w:rPr>
          <w:rFonts w:ascii="Arial" w:hAnsi="Arial" w:cs="Arial"/>
          <w:b/>
          <w:bCs/>
          <w:color w:val="080808"/>
        </w:rPr>
        <w:t xml:space="preserve"> / </w:t>
      </w:r>
      <w:r w:rsidRPr="006A57EF">
        <w:rPr>
          <w:rFonts w:ascii="Arial" w:hAnsi="Arial" w:cs="Arial"/>
          <w:b/>
          <w:bCs/>
          <w:color w:val="080808"/>
        </w:rPr>
        <w:t xml:space="preserve">Financiera </w:t>
      </w:r>
      <w:r w:rsidR="00F56780">
        <w:rPr>
          <w:rFonts w:ascii="Arial" w:hAnsi="Arial" w:cs="Arial"/>
          <w:b/>
          <w:bCs/>
          <w:color w:val="080808"/>
        </w:rPr>
        <w:t xml:space="preserve">y </w:t>
      </w:r>
      <w:r w:rsidRPr="006A57EF">
        <w:rPr>
          <w:rFonts w:ascii="Arial" w:hAnsi="Arial" w:cs="Arial"/>
          <w:b/>
          <w:bCs/>
          <w:color w:val="080808"/>
        </w:rPr>
        <w:t xml:space="preserve">Técnica </w:t>
      </w:r>
    </w:p>
    <w:p w14:paraId="54B12AF1" w14:textId="5A0AD9C5" w:rsidR="006A57EF" w:rsidRDefault="00F56780" w:rsidP="006A57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80808"/>
        </w:rPr>
      </w:pPr>
      <w:r w:rsidRPr="00F56780">
        <w:rPr>
          <w:rFonts w:ascii="Arial" w:hAnsi="Arial" w:cs="Arial"/>
          <w:color w:val="080808"/>
        </w:rPr>
        <w:t>Imder -</w:t>
      </w:r>
      <w:r>
        <w:rPr>
          <w:rFonts w:ascii="Arial" w:hAnsi="Arial" w:cs="Arial"/>
          <w:b/>
          <w:bCs/>
          <w:color w:val="080808"/>
        </w:rPr>
        <w:t xml:space="preserve"> </w:t>
      </w:r>
      <w:r w:rsidR="006A57EF">
        <w:rPr>
          <w:rFonts w:ascii="Arial" w:hAnsi="Arial" w:cs="Arial"/>
          <w:color w:val="080808"/>
        </w:rPr>
        <w:t xml:space="preserve">Villavicencio </w:t>
      </w:r>
    </w:p>
    <w:p w14:paraId="54FAB6B9" w14:textId="77777777" w:rsidR="006A57EF" w:rsidRDefault="006A57EF" w:rsidP="006A57EF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80808"/>
        </w:rPr>
      </w:pPr>
    </w:p>
    <w:p w14:paraId="2926F19E" w14:textId="2D3EE8CC" w:rsidR="003A435F" w:rsidRDefault="006A57EF" w:rsidP="006A57EF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b/>
          <w:bCs/>
          <w:color w:val="080808"/>
        </w:rPr>
      </w:pPr>
      <w:r w:rsidRPr="006A57EF">
        <w:rPr>
          <w:rFonts w:ascii="Arial" w:hAnsi="Arial" w:cs="Arial"/>
          <w:b/>
          <w:bCs/>
          <w:color w:val="080808"/>
        </w:rPr>
        <w:t xml:space="preserve">ASUNTO: </w:t>
      </w:r>
      <w:r w:rsidR="00FF79D6">
        <w:rPr>
          <w:rFonts w:ascii="Arial" w:hAnsi="Arial" w:cs="Arial"/>
          <w:b/>
          <w:bCs/>
          <w:color w:val="080808"/>
        </w:rPr>
        <w:t>SEGUIMIENTO A</w:t>
      </w:r>
      <w:r w:rsidRPr="006A57EF">
        <w:rPr>
          <w:rFonts w:ascii="Arial" w:hAnsi="Arial" w:cs="Arial"/>
          <w:b/>
          <w:bCs/>
          <w:color w:val="080808"/>
        </w:rPr>
        <w:t xml:space="preserve"> LEY 1712 de 2014</w:t>
      </w:r>
    </w:p>
    <w:p w14:paraId="0E8767ED" w14:textId="09FC2513" w:rsidR="006A57EF" w:rsidRDefault="006A57EF" w:rsidP="006A57EF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b/>
          <w:bCs/>
          <w:color w:val="080808"/>
        </w:rPr>
      </w:pPr>
      <w:r>
        <w:rPr>
          <w:rFonts w:ascii="Arial" w:hAnsi="Arial" w:cs="Arial"/>
          <w:b/>
          <w:bCs/>
          <w:color w:val="080808"/>
        </w:rPr>
        <w:t xml:space="preserve"> </w:t>
      </w:r>
    </w:p>
    <w:p w14:paraId="787D20EC" w14:textId="3163E571" w:rsidR="00FB5BFB" w:rsidRDefault="00DF4F2B" w:rsidP="00FB5BFB">
      <w:pPr>
        <w:jc w:val="both"/>
        <w:rPr>
          <w:rFonts w:eastAsia="Times New Roman"/>
          <w:color w:val="080808"/>
          <w:sz w:val="24"/>
          <w:szCs w:val="24"/>
          <w:lang w:val="es-419" w:eastAsia="es-419"/>
        </w:rPr>
      </w:pPr>
      <w:r>
        <w:rPr>
          <w:rFonts w:eastAsia="Times New Roman"/>
          <w:color w:val="080808"/>
          <w:sz w:val="24"/>
          <w:szCs w:val="24"/>
          <w:lang w:val="es-419" w:eastAsia="es-419"/>
        </w:rPr>
        <w:t>L</w:t>
      </w:r>
      <w:r w:rsidR="00FB5BFB">
        <w:rPr>
          <w:rFonts w:eastAsia="Times New Roman"/>
          <w:color w:val="080808"/>
          <w:sz w:val="24"/>
          <w:szCs w:val="24"/>
          <w:lang w:val="es-419" w:eastAsia="es-419"/>
        </w:rPr>
        <w:t>a</w:t>
      </w:r>
      <w:r w:rsidR="00FB5BFB" w:rsidRPr="00FB5BFB">
        <w:rPr>
          <w:rFonts w:eastAsia="Times New Roman"/>
          <w:color w:val="080808"/>
          <w:sz w:val="24"/>
          <w:szCs w:val="24"/>
          <w:lang w:val="es-419" w:eastAsia="es-419"/>
        </w:rPr>
        <w:t xml:space="preserve"> Ley </w:t>
      </w:r>
      <w:hyperlink r:id="rId7" w:anchor="0" w:history="1">
        <w:r w:rsidR="00FB5BFB" w:rsidRPr="00FB5BFB">
          <w:rPr>
            <w:rFonts w:eastAsia="Times New Roman"/>
            <w:color w:val="080808"/>
            <w:sz w:val="24"/>
            <w:szCs w:val="24"/>
            <w:lang w:val="es-419" w:eastAsia="es-419"/>
          </w:rPr>
          <w:t>1712</w:t>
        </w:r>
      </w:hyperlink>
      <w:r w:rsidR="00FB5BFB" w:rsidRPr="00FB5BFB">
        <w:rPr>
          <w:rFonts w:eastAsia="Times New Roman"/>
          <w:color w:val="080808"/>
          <w:sz w:val="24"/>
          <w:szCs w:val="24"/>
          <w:lang w:val="es-419" w:eastAsia="es-419"/>
        </w:rPr>
        <w:t> de 2014, Ley de Transparencia y del Derecho de Acceso a la Información Pública Nacional, tiene por objeto regular el derecho de acceso a la información pública, los procedimientos para el ejercicio y garantía del derecho y las excepciones a la publicidad de información, y constituye el marco general de la protección del ejercicio del derecho de acceso a la información pública en Colombia</w:t>
      </w:r>
      <w:r w:rsidR="00FB5BFB">
        <w:rPr>
          <w:rFonts w:eastAsia="Times New Roman"/>
          <w:color w:val="080808"/>
          <w:sz w:val="24"/>
          <w:szCs w:val="24"/>
          <w:lang w:val="es-419" w:eastAsia="es-419"/>
        </w:rPr>
        <w:t xml:space="preserve">, </w:t>
      </w:r>
      <w:r w:rsidR="00FB5BFB" w:rsidRPr="00FB5BFB">
        <w:rPr>
          <w:rFonts w:eastAsia="Times New Roman"/>
          <w:color w:val="080808"/>
          <w:sz w:val="24"/>
          <w:szCs w:val="24"/>
          <w:lang w:val="es-419" w:eastAsia="es-419"/>
        </w:rPr>
        <w:t xml:space="preserve"> para facilitar la implementación y cumplimiento de la Ley 1712 de 2014 se hace necesaria su reglamentación en los temas relacionados con la gestión de la información pública en cuanto a: su adecuada publicación y divulgación, la recepción y respuesta a solicitudes de acceso a esta, su adecuada clasificación y reserva, la elaboración de los instrumentos de gestión de información, así como el seguimiento de la misma.</w:t>
      </w:r>
    </w:p>
    <w:p w14:paraId="416D8292" w14:textId="77777777" w:rsidR="00FB5BFB" w:rsidRPr="00FB5BFB" w:rsidRDefault="00FB5BFB" w:rsidP="00FB5BFB">
      <w:pPr>
        <w:jc w:val="both"/>
        <w:rPr>
          <w:rFonts w:eastAsia="Times New Roman"/>
          <w:color w:val="080808"/>
          <w:sz w:val="24"/>
          <w:szCs w:val="24"/>
          <w:lang w:val="es-419" w:eastAsia="es-419"/>
        </w:rPr>
      </w:pPr>
    </w:p>
    <w:p w14:paraId="7364E4FC" w14:textId="5D217690" w:rsidR="00FB5BFB" w:rsidRDefault="00FB5BFB" w:rsidP="00FB5BFB">
      <w:pPr>
        <w:jc w:val="both"/>
        <w:rPr>
          <w:rFonts w:eastAsia="Times New Roman"/>
          <w:color w:val="080808"/>
          <w:sz w:val="24"/>
          <w:szCs w:val="24"/>
          <w:lang w:val="es-419" w:eastAsia="es-419"/>
        </w:rPr>
      </w:pPr>
      <w:r>
        <w:rPr>
          <w:rFonts w:eastAsia="Times New Roman"/>
          <w:color w:val="080808"/>
          <w:sz w:val="24"/>
          <w:szCs w:val="24"/>
          <w:lang w:val="es-419" w:eastAsia="es-419"/>
        </w:rPr>
        <w:t xml:space="preserve">En su </w:t>
      </w:r>
      <w:bookmarkStart w:id="0" w:name="7"/>
      <w:r w:rsidRPr="00FB5BFB">
        <w:rPr>
          <w:rFonts w:eastAsia="Times New Roman"/>
          <w:b/>
          <w:bCs/>
          <w:color w:val="080808"/>
          <w:sz w:val="24"/>
          <w:szCs w:val="24"/>
          <w:u w:val="single"/>
          <w:lang w:val="es-419" w:eastAsia="es-419"/>
        </w:rPr>
        <w:t>Artículo</w:t>
      </w:r>
      <w:bookmarkEnd w:id="0"/>
      <w:r w:rsidRPr="00FB5BFB">
        <w:rPr>
          <w:rFonts w:eastAsia="Times New Roman"/>
          <w:b/>
          <w:bCs/>
          <w:color w:val="080808"/>
          <w:sz w:val="24"/>
          <w:szCs w:val="24"/>
          <w:u w:val="single"/>
          <w:lang w:val="es-419" w:eastAsia="es-419"/>
        </w:rPr>
        <w:t> 7</w:t>
      </w:r>
      <w:r w:rsidRPr="00FB5BFB">
        <w:rPr>
          <w:rFonts w:eastAsia="Times New Roman"/>
          <w:color w:val="080808"/>
          <w:sz w:val="24"/>
          <w:szCs w:val="24"/>
          <w:lang w:val="es-419" w:eastAsia="es-419"/>
        </w:rPr>
        <w:t>. </w:t>
      </w:r>
      <w:r w:rsidRPr="00FB5BFB">
        <w:rPr>
          <w:rFonts w:eastAsia="Times New Roman"/>
          <w:b/>
          <w:bCs/>
          <w:color w:val="080808"/>
          <w:sz w:val="24"/>
          <w:szCs w:val="24"/>
          <w:u w:val="single"/>
          <w:lang w:val="es-419" w:eastAsia="es-419"/>
        </w:rPr>
        <w:t>Disponibilidad de la Información</w:t>
      </w:r>
      <w:r w:rsidRPr="00FB5BFB">
        <w:rPr>
          <w:rFonts w:eastAsia="Times New Roman"/>
          <w:color w:val="080808"/>
          <w:sz w:val="24"/>
          <w:szCs w:val="24"/>
          <w:lang w:val="es-419" w:eastAsia="es-419"/>
        </w:rPr>
        <w:t>. </w:t>
      </w:r>
      <w:r>
        <w:rPr>
          <w:rFonts w:eastAsia="Times New Roman"/>
          <w:color w:val="080808"/>
          <w:sz w:val="24"/>
          <w:szCs w:val="24"/>
          <w:lang w:val="es-419" w:eastAsia="es-419"/>
        </w:rPr>
        <w:t xml:space="preserve">Dictamina que </w:t>
      </w:r>
      <w:r w:rsidRPr="00FB5BFB">
        <w:rPr>
          <w:rFonts w:eastAsia="Times New Roman"/>
          <w:color w:val="080808"/>
          <w:sz w:val="24"/>
          <w:szCs w:val="24"/>
          <w:lang w:val="es-419" w:eastAsia="es-419"/>
        </w:rPr>
        <w:t xml:space="preserve">deberá estar a disposición del público la información a la que hace referencia la presente ley, a través de medios físicos, remotos o locales de comunicación electrónica. El Instituto Municipal de Deportes y Recreación Villavicencio, deberá tener a disposición de las personas interesadas dicha información en la Web, a fin de que estas puedan obtener la información, de manera directa o mediante impresiones. </w:t>
      </w:r>
      <w:r w:rsidR="0045732E" w:rsidRPr="00FB5BFB">
        <w:rPr>
          <w:rFonts w:eastAsia="Times New Roman"/>
          <w:color w:val="080808"/>
          <w:sz w:val="24"/>
          <w:szCs w:val="24"/>
          <w:lang w:val="es-419" w:eastAsia="es-419"/>
        </w:rPr>
        <w:t>Así</w:t>
      </w:r>
      <w:r w:rsidR="0045732E">
        <w:rPr>
          <w:rFonts w:eastAsia="Times New Roman"/>
          <w:color w:val="080808"/>
          <w:sz w:val="24"/>
          <w:szCs w:val="24"/>
          <w:lang w:val="es-419" w:eastAsia="es-419"/>
        </w:rPr>
        <w:t xml:space="preserve"> </w:t>
      </w:r>
      <w:r w:rsidRPr="00FB5BFB">
        <w:rPr>
          <w:rFonts w:eastAsia="Times New Roman"/>
          <w:color w:val="080808"/>
          <w:sz w:val="24"/>
          <w:szCs w:val="24"/>
          <w:lang w:val="es-419" w:eastAsia="es-419"/>
        </w:rPr>
        <w:t>mismo, estos deberán proporcionar apoyo a los usuarios que lo requieran y proveer todo tipo de asistencia respecto de los trámites y servicios que presten.</w:t>
      </w:r>
    </w:p>
    <w:p w14:paraId="470E9D51" w14:textId="77777777" w:rsidR="00FB5BFB" w:rsidRPr="00FB5BFB" w:rsidRDefault="00FB5BFB" w:rsidP="00FB5BFB">
      <w:pPr>
        <w:jc w:val="both"/>
        <w:rPr>
          <w:rFonts w:eastAsia="Times New Roman"/>
          <w:color w:val="080808"/>
          <w:sz w:val="24"/>
          <w:szCs w:val="24"/>
          <w:lang w:val="es-419" w:eastAsia="es-419"/>
        </w:rPr>
      </w:pPr>
    </w:p>
    <w:p w14:paraId="00B17D14" w14:textId="0A4DE424" w:rsidR="00FB5BFB" w:rsidRPr="00FB5BFB" w:rsidRDefault="00FB5BFB" w:rsidP="00FB5BF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80808"/>
        </w:rPr>
      </w:pPr>
      <w:r w:rsidRPr="00FB5BFB">
        <w:rPr>
          <w:rFonts w:ascii="Arial" w:hAnsi="Arial" w:cs="Arial"/>
          <w:b/>
          <w:bCs/>
          <w:color w:val="080808"/>
          <w:u w:val="single"/>
        </w:rPr>
        <w:t>Artículo 9</w:t>
      </w:r>
      <w:r w:rsidRPr="00FB5BFB">
        <w:rPr>
          <w:rFonts w:ascii="Arial" w:hAnsi="Arial" w:cs="Arial"/>
          <w:color w:val="080808"/>
        </w:rPr>
        <w:t>. Información mínima obligatoria respecto a la estructura del Instituto Municipal de Deportes y Recreación Villavicencio.  deberá publicar la siguiente información mínima obligatoria de manera proactiva en los sistemas de información en la Página Web:</w:t>
      </w:r>
    </w:p>
    <w:p w14:paraId="3418208A" w14:textId="5E0C7569" w:rsidR="00FB5BFB" w:rsidRPr="00774E98" w:rsidRDefault="003A435F" w:rsidP="00FB5BF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80808"/>
        </w:rPr>
      </w:pPr>
      <w:r w:rsidRPr="00FB5BFB">
        <w:rPr>
          <w:rFonts w:ascii="Arial" w:hAnsi="Arial" w:cs="Arial"/>
          <w:color w:val="080808"/>
        </w:rPr>
        <w:t>debe</w:t>
      </w:r>
      <w:r>
        <w:rPr>
          <w:rFonts w:ascii="Arial" w:hAnsi="Arial" w:cs="Arial"/>
          <w:color w:val="080808"/>
        </w:rPr>
        <w:t>rá</w:t>
      </w:r>
      <w:r w:rsidR="00FB5BFB" w:rsidRPr="00FB5BFB">
        <w:rPr>
          <w:rFonts w:ascii="Arial" w:hAnsi="Arial" w:cs="Arial"/>
          <w:color w:val="080808"/>
        </w:rPr>
        <w:t xml:space="preserve"> publicar en la página principal de su sitio web oficial, en una sección particular identificada con el nombre de </w:t>
      </w:r>
      <w:r w:rsidR="00FB5BFB" w:rsidRPr="003A435F">
        <w:rPr>
          <w:rFonts w:ascii="Arial" w:hAnsi="Arial" w:cs="Arial"/>
          <w:b/>
          <w:bCs/>
          <w:color w:val="080808"/>
          <w:u w:val="single"/>
        </w:rPr>
        <w:t xml:space="preserve">“Transparencia y acceso a información pública”, </w:t>
      </w:r>
      <w:r w:rsidR="00FB5BFB" w:rsidRPr="00774E98">
        <w:rPr>
          <w:rFonts w:ascii="Arial" w:hAnsi="Arial" w:cs="Arial"/>
          <w:color w:val="080808"/>
        </w:rPr>
        <w:t>la siguiente información:</w:t>
      </w:r>
    </w:p>
    <w:p w14:paraId="1F013316" w14:textId="0C1182BA" w:rsidR="003A435F" w:rsidRDefault="003A435F" w:rsidP="00FB5BF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080808"/>
          <w:u w:val="single"/>
        </w:rPr>
      </w:pPr>
    </w:p>
    <w:p w14:paraId="16D0C1BC" w14:textId="77777777" w:rsidR="003A435F" w:rsidRPr="003A435F" w:rsidRDefault="003A435F" w:rsidP="00FB5BF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080808"/>
          <w:u w:val="single"/>
        </w:rPr>
      </w:pPr>
    </w:p>
    <w:tbl>
      <w:tblPr>
        <w:tblW w:w="1084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787"/>
        <w:gridCol w:w="2761"/>
        <w:gridCol w:w="2461"/>
        <w:gridCol w:w="146"/>
      </w:tblGrid>
      <w:tr w:rsidR="003A435F" w:rsidRPr="003A435F" w14:paraId="6C1FB0EC" w14:textId="77777777" w:rsidTr="003A435F">
        <w:trPr>
          <w:gridAfter w:val="1"/>
          <w:wAfter w:w="146" w:type="dxa"/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1185926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val="es-419" w:eastAsia="es-419"/>
              </w:rPr>
              <w:t>COMPONENTE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E20D88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val="es-419" w:eastAsia="es-419"/>
              </w:rPr>
              <w:t>REQUISITO A PUBLICAR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D207995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val="es-419" w:eastAsia="es-419"/>
              </w:rPr>
              <w:t xml:space="preserve">DEPENDENCIA RESPONSABLE 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1E5133C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val="es-419" w:eastAsia="es-419"/>
              </w:rPr>
              <w:t>FRECUENCIA EN ACTUALIZACION</w:t>
            </w:r>
          </w:p>
        </w:tc>
      </w:tr>
      <w:tr w:rsidR="003A435F" w:rsidRPr="003A435F" w14:paraId="7EBBA23A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textDirection w:val="btLr"/>
            <w:vAlign w:val="center"/>
            <w:hideMark/>
          </w:tcPr>
          <w:p w14:paraId="16D33C8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  <w:t>MECANISMOS DE CONTACTO CON EL SUJETO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0C6DFF0" w14:textId="1392F1CF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Mecanismos para la Atención al Ciudadano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889D78D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SUBDIRECCION ADMINISTRATIVA Y FINANCIERA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B1EFC23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11A03476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9143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110C3D5" w14:textId="0DAC5298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Localización </w:t>
            </w:r>
            <w:r w:rsidR="0045732E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Física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, Horarios y </w:t>
            </w:r>
            <w:r w:rsidR="0045732E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días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de </w:t>
            </w:r>
            <w:r w:rsidR="0045732E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Atención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al Publico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58C0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049FDF3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4F515E9C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5CE5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43DA8B6" w14:textId="60DA315B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Correo </w:t>
            </w:r>
            <w:r w:rsidR="0045732E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Electrónico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Para Notificaciones Judiciales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410F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292A85B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426BF0E2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5F50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3006C55" w14:textId="26E5DD45" w:rsidR="003A435F" w:rsidRPr="003A435F" w:rsidRDefault="0045732E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Políticas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de Seguridad de la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sitio Web y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Protección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Datos Personales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E4DA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1804F38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5BC1B5E4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EA43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19BF636" w14:textId="05318D0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Link al Formulario </w:t>
            </w:r>
            <w:r w:rsidR="0045732E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electrónico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de PQRSD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68B4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35AC198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40F3703D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14:paraId="316BC538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  <w:t>INFORMACION DE INTERES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79C392" w14:textId="53DDD9E3" w:rsidR="003A435F" w:rsidRPr="003A435F" w:rsidRDefault="0045732E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Publicación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de Datos Abiertos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5083CA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SUBDIRECCION TECNICA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DCCEB9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</w:tr>
      <w:tr w:rsidR="003A435F" w:rsidRPr="003A435F" w14:paraId="585A1C22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B69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DB98CC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Estudios, Investigaciones y Otras Publicaciones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BC4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A21A8EB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</w:tr>
      <w:tr w:rsidR="003A435F" w:rsidRPr="003A435F" w14:paraId="33912559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1940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3335802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Convocatorias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42190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486D2C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</w:tr>
      <w:tr w:rsidR="003A435F" w:rsidRPr="003A435F" w14:paraId="2A68733A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A48B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7F40D7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Preguntas y Respuestas Frecuentes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73181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62DA95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</w:tr>
      <w:tr w:rsidR="003A435F" w:rsidRPr="003A435F" w14:paraId="27B0188E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3D8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5A4C7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Glosario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5F8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9FA600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</w:tr>
      <w:tr w:rsidR="003A435F" w:rsidRPr="003A435F" w14:paraId="72576A22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CF29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DA2DFD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Noticias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31170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60B6F4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</w:tr>
      <w:tr w:rsidR="003A435F" w:rsidRPr="003A435F" w14:paraId="78BE30F8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7CBC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B0FECF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Calendario Actividades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BFBC0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65E990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</w:tr>
      <w:tr w:rsidR="003A435F" w:rsidRPr="003A435F" w14:paraId="3FCF8072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9D72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C9E1EC" w14:textId="7A0D0248" w:rsidR="003A435F" w:rsidRPr="003A435F" w:rsidRDefault="0045732E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para Niños y Adolescentes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0DD3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38317F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</w:tr>
      <w:tr w:rsidR="003A435F" w:rsidRPr="003A435F" w14:paraId="3CFC3D8D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textDirection w:val="btLr"/>
            <w:vAlign w:val="center"/>
            <w:hideMark/>
          </w:tcPr>
          <w:p w14:paraId="167F6EC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  <w:t>ESTRUCTURA ORGANICA Y TALENTO HUMANO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1CAA310" w14:textId="0166F068" w:rsidR="003A435F" w:rsidRPr="003A435F" w:rsidRDefault="0045732E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Misión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,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Visión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Y Objetivos 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5DE6891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SUBDIRECCION ADMINISTRATIVA Y FINANCIERA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05E4EA8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28069B7F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1EBF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EF2430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CO" w:eastAsia="es-419"/>
              </w:rPr>
              <w:t>Funciones y deberes del Instituto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365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9499C86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3D8A13EB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104F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EE670E1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CO" w:eastAsia="es-419"/>
              </w:rPr>
              <w:t>Procesos y procedimientos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53AD6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72EE813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49DED95C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13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B75AD52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CO" w:eastAsia="es-419"/>
              </w:rPr>
              <w:t>Organigrama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6D584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BBA01AC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0481FBD5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68E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2D62E86" w14:textId="10BFDEA4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Directorio de </w:t>
            </w:r>
            <w:r w:rsidR="0045732E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de Servidores </w:t>
            </w:r>
            <w:r w:rsidR="0045732E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Públicos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y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lastRenderedPageBreak/>
              <w:t xml:space="preserve">Contratistas Detallando,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(Nombre Completo,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Formación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Académica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, Cargo, Correo y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Teléfono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 Institucional, Dependencia, Cargo, Funcionario de Planta (Si es el caso incluir grado y escala salarial) o Contratista (si es el caso incluir; objeto contrato, fecha inicio y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terminación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 del contrato) 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3A4E4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599B357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</w:tr>
      <w:tr w:rsidR="003A435F" w:rsidRPr="003A435F" w14:paraId="59F65AE9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CB16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EC9C104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Directorio de Agremiaciones, Asociaciones y otros grupos de interés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8ED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CBBC160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081595EE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0A9115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val="es-419" w:eastAsia="es-419"/>
              </w:rPr>
              <w:t>NORMATIVIDAD GENERAL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6CB6CF" w14:textId="69C77EB5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Normatividad Nacional,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Territorial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y General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ADF76B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ASESOR JURIDICO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4F9A401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</w:tr>
      <w:tr w:rsidR="003A435F" w:rsidRPr="003A435F" w14:paraId="22B45BFF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textDirection w:val="btLr"/>
            <w:vAlign w:val="center"/>
            <w:hideMark/>
          </w:tcPr>
          <w:p w14:paraId="3F257D97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  <w:t>PRESUPUESTO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C4FD131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Presupuesto General Asignado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D18F548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SUBDIRECCION ADMINISTRATIVA Y FINANCIERA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18692A4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39532544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04E0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8D9F667" w14:textId="7ECCE3BE" w:rsidR="003A435F" w:rsidRPr="003A435F" w:rsidRDefault="00774E98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Ejecución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Presupuestal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Histórico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Anual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BAB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1DEBF06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</w:tr>
      <w:tr w:rsidR="003A435F" w:rsidRPr="003A435F" w14:paraId="0B6CE3D5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849C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EF12585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Estados Financieros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43938C7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CONTABILIDAD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24425DB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MENSUALMENTE</w:t>
            </w:r>
          </w:p>
        </w:tc>
      </w:tr>
      <w:tr w:rsidR="003A435F" w:rsidRPr="003A435F" w14:paraId="28FD7B7B" w14:textId="77777777" w:rsidTr="003A435F">
        <w:trPr>
          <w:gridAfter w:val="1"/>
          <w:wAfter w:w="146" w:type="dxa"/>
          <w:trHeight w:val="60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14:paraId="6B6D085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  <w:t>PLANEACION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E6F281" w14:textId="4D6B907F" w:rsidR="003A435F" w:rsidRPr="003A435F" w:rsidRDefault="00774E98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Políticas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, Lineamientos y Manuales      (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Código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Integridad, Manual de Funciones,  Matriz de Riesgos Institucionales, Modelo Integrado de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Planeación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y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Gestión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- MIPG,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Política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Administración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del Riesgo,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Rendición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de Cuentas, Plan Operativo Anual, Plan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Anticorrupción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y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Atención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al Ciudadano)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F20CDD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PLANEACION / INGENIERO SISTEMAS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E4577F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ANUAL, TRIMESTRAL Y SEMESTRAL</w:t>
            </w:r>
          </w:p>
        </w:tc>
      </w:tr>
      <w:tr w:rsidR="003A435F" w:rsidRPr="003A435F" w14:paraId="2A625992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D715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F95A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BB86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F196C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0652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</w:tr>
      <w:tr w:rsidR="003A435F" w:rsidRPr="003A435F" w14:paraId="5CFC6157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174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59B1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AD13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E741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724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4DC3E9A5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2876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941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572AF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D7386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9C1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478006CD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322F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2DB6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F63A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FC56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D4A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682E055C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B4E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A265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0BC4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DE57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FE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41F306D8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9873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618B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C15AC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82AD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59F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34BDD92F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5D7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85A1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64C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FB3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8A7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00242EBE" w14:textId="77777777" w:rsidTr="00774E98">
        <w:trPr>
          <w:trHeight w:val="7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A3BB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3DF5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CD81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B0E4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0B4C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2FDC43E9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D11F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60382E" w14:textId="257BFC8B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Plan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Acción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y Programas (Plan de Capacitaciones, Plan de Bienestar e incentivos, Plan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Previsión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, Plan de Trabajo Anual en Seguridad y Salud en el Trabajo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57FB1F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SUBDIRECCION ADMINISTRATIVA Y FINANCIERA / INGENIERO SISTEMAS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498438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  <w:tc>
          <w:tcPr>
            <w:tcW w:w="146" w:type="dxa"/>
            <w:vAlign w:val="center"/>
            <w:hideMark/>
          </w:tcPr>
          <w:p w14:paraId="4A621569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7135800B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0CE0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AEF0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C048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8D7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95FB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</w:tr>
      <w:tr w:rsidR="003A435F" w:rsidRPr="003A435F" w14:paraId="122E4052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24BC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08C0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A063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F2D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70F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00FA0B4A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4369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E0C5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FC64C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3E8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AB7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2A7AAD63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08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93AF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E531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5A04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86A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5A70C49E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F41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6AE49D" w14:textId="711EABF4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Metas, Objetivos e Indicadores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Gestión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y/o Desempeño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D0FFE7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PLANEACION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F6027B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  <w:tc>
          <w:tcPr>
            <w:tcW w:w="146" w:type="dxa"/>
            <w:vAlign w:val="center"/>
            <w:hideMark/>
          </w:tcPr>
          <w:p w14:paraId="42CA000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374471F0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CFB2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B3A186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Informes de Empalme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4884EC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SUBDIRECCIONES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201325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OCASIONALMENTE</w:t>
            </w:r>
          </w:p>
        </w:tc>
        <w:tc>
          <w:tcPr>
            <w:tcW w:w="146" w:type="dxa"/>
            <w:vAlign w:val="center"/>
            <w:hideMark/>
          </w:tcPr>
          <w:p w14:paraId="0D8B623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07D891C9" w14:textId="77777777" w:rsidTr="003A435F">
        <w:trPr>
          <w:trHeight w:val="60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textDirection w:val="btLr"/>
            <w:vAlign w:val="center"/>
            <w:hideMark/>
          </w:tcPr>
          <w:p w14:paraId="57D3CB5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  <w:t>CONTROL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32DC46A" w14:textId="32D9C10E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Informes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Gestión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,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Evaluación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y Auditoria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DD50C98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CONTROL INTERNO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1510740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  <w:tc>
          <w:tcPr>
            <w:tcW w:w="146" w:type="dxa"/>
            <w:vAlign w:val="center"/>
            <w:hideMark/>
          </w:tcPr>
          <w:p w14:paraId="0C8FE889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040FA75E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8079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0165B21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Reportes de Control Interno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2CB2B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A2903B8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  <w:tc>
          <w:tcPr>
            <w:tcW w:w="146" w:type="dxa"/>
            <w:vAlign w:val="center"/>
            <w:hideMark/>
          </w:tcPr>
          <w:p w14:paraId="32806E2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5F0B1ED4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6DA7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43F9BD3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Planes de Mejoramiento 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9C6AB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4575FD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  <w:tc>
          <w:tcPr>
            <w:tcW w:w="146" w:type="dxa"/>
            <w:vAlign w:val="center"/>
            <w:hideMark/>
          </w:tcPr>
          <w:p w14:paraId="6705A801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500FC3F8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9D81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4694CAE" w14:textId="52F7D732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Entes de Control que Vigilan el Instituto y Mecanismos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Supervisión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FA1D9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AE0FE96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  <w:tc>
          <w:tcPr>
            <w:tcW w:w="146" w:type="dxa"/>
            <w:vAlign w:val="center"/>
            <w:hideMark/>
          </w:tcPr>
          <w:p w14:paraId="2493AAE4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7AB45962" w14:textId="77777777" w:rsidTr="003A435F">
        <w:trPr>
          <w:trHeight w:val="60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14:paraId="07DDE474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  <w:t>CONTRATACION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91E412" w14:textId="01013A71" w:rsidR="003A435F" w:rsidRPr="003A435F" w:rsidRDefault="00774E98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Contractual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E76DA5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CONTRATACION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660406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MENSUALMENTE</w:t>
            </w:r>
          </w:p>
        </w:tc>
        <w:tc>
          <w:tcPr>
            <w:tcW w:w="146" w:type="dxa"/>
            <w:vAlign w:val="center"/>
            <w:hideMark/>
          </w:tcPr>
          <w:p w14:paraId="56B50CA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33C81648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ED33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F9AD3E" w14:textId="505AEC01" w:rsidR="003A435F" w:rsidRPr="003A435F" w:rsidRDefault="00774E98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Ejecución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de Contratos 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(Aprobaciones, autorizaciones, requerimientos o informes del supervisor o del interventor, que prueben la ejecución de los contratos)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1D22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0273B2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MENSUALMENTE</w:t>
            </w:r>
          </w:p>
        </w:tc>
        <w:tc>
          <w:tcPr>
            <w:tcW w:w="146" w:type="dxa"/>
            <w:vAlign w:val="center"/>
            <w:hideMark/>
          </w:tcPr>
          <w:p w14:paraId="651D6567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224AD276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974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B777CD" w14:textId="28295B91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procedimientos, lineamientos y políticas en materia de adquisición y compras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(Manual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Contratación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 Vigente)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DAB9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82D096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  <w:tc>
          <w:tcPr>
            <w:tcW w:w="146" w:type="dxa"/>
            <w:vAlign w:val="center"/>
            <w:hideMark/>
          </w:tcPr>
          <w:p w14:paraId="4988DB1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57990DFC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B410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A09052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Plan Anual de Adquisiciones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D70B5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699E33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  <w:tc>
          <w:tcPr>
            <w:tcW w:w="146" w:type="dxa"/>
            <w:vAlign w:val="center"/>
            <w:hideMark/>
          </w:tcPr>
          <w:p w14:paraId="4CE7118C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6A729BED" w14:textId="77777777" w:rsidTr="003A435F">
        <w:trPr>
          <w:trHeight w:val="60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5BA6C7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  <w:t>TRAMITES Y SERVICIOS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BE0DF7B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Servicios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CEA7D59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SUBDIRECCION TECNICA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AD7AF59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  <w:tc>
          <w:tcPr>
            <w:tcW w:w="146" w:type="dxa"/>
            <w:vAlign w:val="center"/>
            <w:hideMark/>
          </w:tcPr>
          <w:p w14:paraId="4F6ED873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7716DBD9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BF5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1BE650D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Tramites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466B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3952E2B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  <w:tc>
          <w:tcPr>
            <w:tcW w:w="146" w:type="dxa"/>
            <w:vAlign w:val="center"/>
            <w:hideMark/>
          </w:tcPr>
          <w:p w14:paraId="6D191A67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63E29E59" w14:textId="77777777" w:rsidTr="003A435F">
        <w:trPr>
          <w:trHeight w:val="60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14:paraId="42FD0C8B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  <w:t>INSTRUMENTOS DE GESTIÓN DE INFORMACIÓN PÚBLICA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D6FBF4" w14:textId="6DE4E9F9" w:rsidR="003A435F" w:rsidRPr="003A435F" w:rsidRDefault="00774E98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Mínima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Requerida a Publicar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Artículos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9, 10 y 11 de la ley 1712 de 2014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8C6FB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A7BD63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  <w:tc>
          <w:tcPr>
            <w:tcW w:w="146" w:type="dxa"/>
            <w:vAlign w:val="center"/>
            <w:hideMark/>
          </w:tcPr>
          <w:p w14:paraId="6E1983CF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18532F45" w14:textId="77777777" w:rsidTr="003A435F">
        <w:trPr>
          <w:trHeight w:val="195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A9C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3C05C5" w14:textId="138BCC0A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Registro de Activos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(Es un inventario organizado de la información que se encuentra en posesión, custodia o bajo control del instituto. Es útil para identificar la información que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br/>
              <w:t>posee la entidad y en dónde puede ser consultada)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4B650C6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PENDIENTE POR ASIGNAR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459FA8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  <w:tc>
          <w:tcPr>
            <w:tcW w:w="146" w:type="dxa"/>
            <w:vAlign w:val="center"/>
            <w:hideMark/>
          </w:tcPr>
          <w:p w14:paraId="170AE72C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53B93671" w14:textId="77777777" w:rsidTr="003A435F">
        <w:trPr>
          <w:trHeight w:val="229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92AF4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01B804" w14:textId="116E66D9" w:rsidR="003A435F" w:rsidRPr="003A435F" w:rsidRDefault="00774E98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Índice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de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Clasificada y Reservada (</w:t>
            </w:r>
            <w:r w:rsidR="003A435F"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Es un instrumento que facilita la respuesta a solicitudes de acceso a la información pública reservada o clasificada, dado que dichas respuestas deben basarse en este Índice. Sirve para que la ciudadanía conozca cuáles son los documentos que tienen acceso restringido)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FD6872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PENDIENTE POR ASIGNAR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9C7B9D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  <w:tc>
          <w:tcPr>
            <w:tcW w:w="146" w:type="dxa"/>
            <w:vAlign w:val="center"/>
            <w:hideMark/>
          </w:tcPr>
          <w:p w14:paraId="523EF13B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641E8E43" w14:textId="77777777" w:rsidTr="003A435F">
        <w:trPr>
          <w:trHeight w:val="147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A72A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BD5633" w14:textId="772627BC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Esquema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Publicación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(Es un instrumento que sirve para notificar sobre la información publicada en el sitio web del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>instituto y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es-419" w:eastAsia="es-419"/>
              </w:rPr>
              <w:t xml:space="preserve"> la que se encuentra disponible en otros medios)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A09AB9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PENDIENTE POR ASIGNAR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5C8DE4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ANUALMENTE</w:t>
            </w:r>
          </w:p>
        </w:tc>
        <w:tc>
          <w:tcPr>
            <w:tcW w:w="146" w:type="dxa"/>
            <w:vAlign w:val="center"/>
            <w:hideMark/>
          </w:tcPr>
          <w:p w14:paraId="78BC1FD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1CFB2679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496A8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54573C" w14:textId="60D65434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Programa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Gestión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Documental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A39F72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SUBDIRECCION ADMINISTRATIVA Y FINANCIERA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28B28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MENSUALMENTE</w:t>
            </w:r>
          </w:p>
        </w:tc>
        <w:tc>
          <w:tcPr>
            <w:tcW w:w="146" w:type="dxa"/>
            <w:vAlign w:val="center"/>
            <w:hideMark/>
          </w:tcPr>
          <w:p w14:paraId="5F56B8C4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1E164E7F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FBFA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695A3E" w14:textId="63F576EC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Tablas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Retención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Documental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7C2C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3B94136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MENSUALMENTE</w:t>
            </w:r>
          </w:p>
        </w:tc>
        <w:tc>
          <w:tcPr>
            <w:tcW w:w="146" w:type="dxa"/>
            <w:vAlign w:val="center"/>
            <w:hideMark/>
          </w:tcPr>
          <w:p w14:paraId="55078F6E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6FD39FDF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E2851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ED7E85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Mecanismos para Presentar Quejas y Reclamos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D1B9F03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SUBDIRECCION ADMINISTRATIVA Y FINANCIERA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B0291B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MENSUALMENTE</w:t>
            </w:r>
          </w:p>
        </w:tc>
        <w:tc>
          <w:tcPr>
            <w:tcW w:w="146" w:type="dxa"/>
            <w:vAlign w:val="center"/>
            <w:hideMark/>
          </w:tcPr>
          <w:p w14:paraId="1C25C3C2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4891B99E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2945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A10E44" w14:textId="62914F99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Informes de Peticiones, Quejas, Reclamos, Denuncias y Solicitudes de Acceso a la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AD0425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CONTROL INTERNO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84D72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SEMESTRALMENTE</w:t>
            </w:r>
          </w:p>
        </w:tc>
        <w:tc>
          <w:tcPr>
            <w:tcW w:w="146" w:type="dxa"/>
            <w:vAlign w:val="center"/>
            <w:hideMark/>
          </w:tcPr>
          <w:p w14:paraId="783FF472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36A41558" w14:textId="77777777" w:rsidTr="003A435F">
        <w:trPr>
          <w:trHeight w:val="60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98AB426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  <w:t>TRANSPARENCIA PASIVA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92DCFCC" w14:textId="64B6DFE5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Medios de Seguimiento Para la Consulta del estado de las Solicitudes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Publica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D89B593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SUBDIRECCION ADMINISTRATIVA Y FINANCIERA / INGENIERO SISTEMAS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707BAF7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FRECUENTEMENTE</w:t>
            </w:r>
          </w:p>
        </w:tc>
        <w:tc>
          <w:tcPr>
            <w:tcW w:w="146" w:type="dxa"/>
            <w:vAlign w:val="center"/>
            <w:hideMark/>
          </w:tcPr>
          <w:p w14:paraId="5E9C8B97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3A435F" w:rsidRPr="003A435F" w14:paraId="371A03A0" w14:textId="77777777" w:rsidTr="003A435F">
        <w:trPr>
          <w:trHeight w:val="6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A39D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419" w:eastAsia="es-419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538A54A" w14:textId="304FCABD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Solicitud de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Información</w:t>
            </w: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 xml:space="preserve"> con </w:t>
            </w:r>
            <w:r w:rsidR="00774E98"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Identidad Reservada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9C6E5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2C0362E" w14:textId="77777777" w:rsidR="003A435F" w:rsidRPr="003A435F" w:rsidRDefault="003A435F" w:rsidP="003A435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</w:pPr>
            <w:r w:rsidRPr="003A435F">
              <w:rPr>
                <w:rFonts w:ascii="Arial Narrow" w:eastAsia="Times New Roman" w:hAnsi="Arial Narrow" w:cs="Calibri"/>
                <w:i/>
                <w:iCs/>
                <w:color w:val="000000"/>
                <w:lang w:val="es-419" w:eastAsia="es-419"/>
              </w:rPr>
              <w:t>OCASIONALMENTE</w:t>
            </w:r>
          </w:p>
        </w:tc>
        <w:tc>
          <w:tcPr>
            <w:tcW w:w="146" w:type="dxa"/>
            <w:vAlign w:val="center"/>
            <w:hideMark/>
          </w:tcPr>
          <w:p w14:paraId="22EB4746" w14:textId="77777777" w:rsidR="003A435F" w:rsidRPr="003A435F" w:rsidRDefault="003A435F" w:rsidP="003A4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</w:tbl>
    <w:p w14:paraId="794399EE" w14:textId="77777777" w:rsidR="00FB5BFB" w:rsidRDefault="00FB5BFB" w:rsidP="006A57EF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080808"/>
        </w:rPr>
      </w:pPr>
    </w:p>
    <w:p w14:paraId="5F302C2D" w14:textId="64186D38" w:rsidR="00DF4F2B" w:rsidRDefault="002054E7" w:rsidP="00DF4F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80808"/>
        </w:rPr>
      </w:pPr>
      <w:r w:rsidRPr="002054E7">
        <w:rPr>
          <w:rFonts w:ascii="Arial" w:hAnsi="Arial" w:cs="Arial"/>
          <w:b/>
          <w:bCs/>
          <w:i/>
          <w:iCs/>
          <w:color w:val="080808"/>
          <w:u w:val="single"/>
        </w:rPr>
        <w:t>EVIDENCIA:</w:t>
      </w:r>
      <w:r>
        <w:rPr>
          <w:rFonts w:ascii="Arial" w:hAnsi="Arial" w:cs="Arial"/>
          <w:color w:val="080808"/>
        </w:rPr>
        <w:t xml:space="preserve"> </w:t>
      </w:r>
      <w:r w:rsidR="00DF4F2B" w:rsidRPr="00FB5BFB">
        <w:rPr>
          <w:rFonts w:ascii="Arial" w:hAnsi="Arial" w:cs="Arial"/>
          <w:color w:val="080808"/>
        </w:rPr>
        <w:t>Dando cumplimiento a la</w:t>
      </w:r>
      <w:r w:rsidR="00DF4F2B">
        <w:rPr>
          <w:rFonts w:ascii="Arial" w:hAnsi="Arial" w:cs="Arial"/>
          <w:color w:val="080808"/>
        </w:rPr>
        <w:t xml:space="preserve">s facultades que otorga la </w:t>
      </w:r>
      <w:r w:rsidR="00DF4F2B" w:rsidRPr="00FB5BFB">
        <w:rPr>
          <w:rFonts w:ascii="Arial" w:hAnsi="Arial" w:cs="Arial"/>
          <w:color w:val="080808"/>
        </w:rPr>
        <w:t xml:space="preserve">ley 87 de 1993 </w:t>
      </w:r>
      <w:r w:rsidR="00DF4F2B">
        <w:rPr>
          <w:rFonts w:ascii="Arial" w:hAnsi="Arial" w:cs="Arial"/>
          <w:color w:val="080808"/>
        </w:rPr>
        <w:t xml:space="preserve">a la Oficina de Control Interno, </w:t>
      </w:r>
      <w:r w:rsidR="00DF4F2B" w:rsidRPr="00FB5BFB">
        <w:rPr>
          <w:rFonts w:ascii="Arial" w:hAnsi="Arial" w:cs="Arial"/>
          <w:color w:val="080808"/>
        </w:rPr>
        <w:t xml:space="preserve">como ente evaluador independiente en las entidades públicas, me permito informar que verificando la página </w:t>
      </w:r>
      <w:r w:rsidR="00DF4F2B">
        <w:rPr>
          <w:rFonts w:ascii="Arial" w:hAnsi="Arial" w:cs="Arial"/>
          <w:color w:val="080808"/>
        </w:rPr>
        <w:t xml:space="preserve">WEB </w:t>
      </w:r>
      <w:r w:rsidR="00DF4F2B" w:rsidRPr="00FB5BFB">
        <w:rPr>
          <w:rFonts w:ascii="Arial" w:hAnsi="Arial" w:cs="Arial"/>
          <w:color w:val="080808"/>
        </w:rPr>
        <w:t xml:space="preserve">del Instituto Municipal de Deportes y Recreación de Villavicencio (IMDER), </w:t>
      </w:r>
      <w:r w:rsidR="00DF4F2B">
        <w:rPr>
          <w:rFonts w:ascii="Arial" w:hAnsi="Arial" w:cs="Arial"/>
          <w:color w:val="080808"/>
        </w:rPr>
        <w:t xml:space="preserve">se evidencia la falta de suministro de  </w:t>
      </w:r>
      <w:r w:rsidR="00DF4F2B" w:rsidRPr="00FB5BFB">
        <w:rPr>
          <w:rFonts w:ascii="Arial" w:hAnsi="Arial" w:cs="Arial"/>
          <w:color w:val="080808"/>
        </w:rPr>
        <w:t>info</w:t>
      </w:r>
      <w:bookmarkStart w:id="1" w:name="_GoBack"/>
      <w:bookmarkEnd w:id="1"/>
      <w:r w:rsidR="00DF4F2B" w:rsidRPr="00FB5BFB">
        <w:rPr>
          <w:rFonts w:ascii="Arial" w:hAnsi="Arial" w:cs="Arial"/>
          <w:color w:val="080808"/>
        </w:rPr>
        <w:t>rmación</w:t>
      </w:r>
      <w:r w:rsidR="00DF4F2B">
        <w:rPr>
          <w:rFonts w:ascii="Arial" w:hAnsi="Arial" w:cs="Arial"/>
          <w:color w:val="080808"/>
        </w:rPr>
        <w:t xml:space="preserve"> en dicha página por parte del Instituto, incumpliendo de esta manera a los Articulos,9,10 y 11 de la Ley</w:t>
      </w:r>
      <w:r w:rsidR="00DF4F2B" w:rsidRPr="00FB5BFB">
        <w:rPr>
          <w:rFonts w:ascii="Arial" w:hAnsi="Arial" w:cs="Arial"/>
          <w:color w:val="080808"/>
        </w:rPr>
        <w:t xml:space="preserve"> 1712 de 2014</w:t>
      </w:r>
      <w:r w:rsidR="00DF4F2B">
        <w:rPr>
          <w:rFonts w:ascii="Arial" w:hAnsi="Arial" w:cs="Arial"/>
          <w:color w:val="080808"/>
        </w:rPr>
        <w:t xml:space="preserve">, </w:t>
      </w:r>
      <w:r w:rsidR="00DF4F2B" w:rsidRPr="00FB5BFB">
        <w:rPr>
          <w:rFonts w:ascii="Arial" w:hAnsi="Arial" w:cs="Arial"/>
          <w:color w:val="080808"/>
        </w:rPr>
        <w:t xml:space="preserve"> </w:t>
      </w:r>
      <w:r w:rsidR="00DF4F2B">
        <w:rPr>
          <w:rFonts w:ascii="Arial" w:hAnsi="Arial" w:cs="Arial"/>
          <w:color w:val="080808"/>
        </w:rPr>
        <w:t>de igual manera la Oficina de Control Interno</w:t>
      </w:r>
      <w:r w:rsidR="008D408C">
        <w:rPr>
          <w:rFonts w:ascii="Arial" w:hAnsi="Arial" w:cs="Arial"/>
          <w:color w:val="080808"/>
        </w:rPr>
        <w:t>,</w:t>
      </w:r>
      <w:r w:rsidR="00DF4F2B">
        <w:rPr>
          <w:rFonts w:ascii="Arial" w:hAnsi="Arial" w:cs="Arial"/>
          <w:color w:val="080808"/>
        </w:rPr>
        <w:t xml:space="preserve"> Busca darle tramite a uno de los hallazgos identificados en la Auditoría Externa que practico la Contraloría Municipal de Villavicencio </w:t>
      </w:r>
      <w:r w:rsidR="008D408C">
        <w:rPr>
          <w:rFonts w:ascii="Arial" w:hAnsi="Arial" w:cs="Arial"/>
          <w:color w:val="080808"/>
        </w:rPr>
        <w:t>en la</w:t>
      </w:r>
      <w:r w:rsidR="00DF4F2B">
        <w:rPr>
          <w:rFonts w:ascii="Arial" w:hAnsi="Arial" w:cs="Arial"/>
          <w:color w:val="080808"/>
        </w:rPr>
        <w:t xml:space="preserve"> vigencia 2020 evaluando el año 2019, cabe resaltar que el objetivo de este análisis es buscar la mejora continua y así lograr los objetivos para la vigencia 2021, por ende es de vital importancia que las dos subdirecciones del Instituto</w:t>
      </w:r>
      <w:r w:rsidR="008D408C">
        <w:rPr>
          <w:rFonts w:ascii="Arial" w:hAnsi="Arial" w:cs="Arial"/>
          <w:color w:val="080808"/>
        </w:rPr>
        <w:t>,</w:t>
      </w:r>
      <w:r w:rsidR="00DF4F2B">
        <w:rPr>
          <w:rFonts w:ascii="Arial" w:hAnsi="Arial" w:cs="Arial"/>
          <w:color w:val="080808"/>
        </w:rPr>
        <w:t xml:space="preserve"> asuman el rol </w:t>
      </w:r>
      <w:r w:rsidR="00DF4F2B">
        <w:rPr>
          <w:rFonts w:ascii="Arial" w:hAnsi="Arial" w:cs="Arial"/>
          <w:color w:val="080808"/>
        </w:rPr>
        <w:lastRenderedPageBreak/>
        <w:t>de líderes</w:t>
      </w:r>
      <w:r w:rsidR="008D408C">
        <w:rPr>
          <w:rFonts w:ascii="Arial" w:hAnsi="Arial" w:cs="Arial"/>
          <w:color w:val="080808"/>
        </w:rPr>
        <w:t>,</w:t>
      </w:r>
      <w:r w:rsidR="00DF4F2B">
        <w:rPr>
          <w:rFonts w:ascii="Arial" w:hAnsi="Arial" w:cs="Arial"/>
          <w:color w:val="080808"/>
        </w:rPr>
        <w:t xml:space="preserve"> para </w:t>
      </w:r>
      <w:r>
        <w:rPr>
          <w:rFonts w:ascii="Arial" w:hAnsi="Arial" w:cs="Arial"/>
          <w:color w:val="080808"/>
        </w:rPr>
        <w:t>darle</w:t>
      </w:r>
      <w:r w:rsidR="00DF4F2B">
        <w:rPr>
          <w:rFonts w:ascii="Arial" w:hAnsi="Arial" w:cs="Arial"/>
          <w:color w:val="080808"/>
        </w:rPr>
        <w:t xml:space="preserve"> cumplimiento a </w:t>
      </w:r>
      <w:r>
        <w:rPr>
          <w:rFonts w:ascii="Arial" w:hAnsi="Arial" w:cs="Arial"/>
          <w:color w:val="080808"/>
        </w:rPr>
        <w:t>toda la información y documentación que se</w:t>
      </w:r>
      <w:r w:rsidR="00DF4F2B">
        <w:rPr>
          <w:rFonts w:ascii="Arial" w:hAnsi="Arial" w:cs="Arial"/>
          <w:color w:val="080808"/>
        </w:rPr>
        <w:t xml:space="preserve"> debe publicar y suministrar en la página web del Instituto</w:t>
      </w:r>
      <w:r>
        <w:rPr>
          <w:rFonts w:ascii="Arial" w:hAnsi="Arial" w:cs="Arial"/>
          <w:color w:val="080808"/>
        </w:rPr>
        <w:t>, para esto la Oficina de Control Interno</w:t>
      </w:r>
      <w:r w:rsidR="008D408C">
        <w:rPr>
          <w:rFonts w:ascii="Arial" w:hAnsi="Arial" w:cs="Arial"/>
          <w:color w:val="080808"/>
        </w:rPr>
        <w:t>,</w:t>
      </w:r>
      <w:r>
        <w:rPr>
          <w:rFonts w:ascii="Arial" w:hAnsi="Arial" w:cs="Arial"/>
          <w:color w:val="080808"/>
        </w:rPr>
        <w:t xml:space="preserve"> elaboro la tabla </w:t>
      </w:r>
      <w:r w:rsidR="008D408C">
        <w:rPr>
          <w:rFonts w:ascii="Arial" w:hAnsi="Arial" w:cs="Arial"/>
          <w:color w:val="080808"/>
        </w:rPr>
        <w:t xml:space="preserve">que se describió anteriormente y en la cual se detalló; componente, requisito a publicar, dependencia responsable y frecuencia de actualización, con la finalidad de tener una guía de lo que debemos suministrar y </w:t>
      </w:r>
      <w:r w:rsidR="0011164F">
        <w:rPr>
          <w:rFonts w:ascii="Arial" w:hAnsi="Arial" w:cs="Arial"/>
          <w:color w:val="080808"/>
        </w:rPr>
        <w:t xml:space="preserve">soportar </w:t>
      </w:r>
      <w:r w:rsidR="008D408C">
        <w:rPr>
          <w:rFonts w:ascii="Arial" w:hAnsi="Arial" w:cs="Arial"/>
          <w:color w:val="080808"/>
        </w:rPr>
        <w:t>en</w:t>
      </w:r>
      <w:r>
        <w:rPr>
          <w:rFonts w:ascii="Arial" w:hAnsi="Arial" w:cs="Arial"/>
          <w:color w:val="080808"/>
        </w:rPr>
        <w:t xml:space="preserve"> nuestra </w:t>
      </w:r>
      <w:r w:rsidR="008D408C">
        <w:rPr>
          <w:rFonts w:ascii="Arial" w:hAnsi="Arial" w:cs="Arial"/>
          <w:color w:val="080808"/>
        </w:rPr>
        <w:t>plataforma</w:t>
      </w:r>
      <w:r w:rsidR="0011164F">
        <w:rPr>
          <w:rFonts w:ascii="Arial" w:hAnsi="Arial" w:cs="Arial"/>
          <w:color w:val="080808"/>
        </w:rPr>
        <w:t xml:space="preserve"> para el acceso al público en general.</w:t>
      </w:r>
    </w:p>
    <w:p w14:paraId="3E8D75A6" w14:textId="77777777" w:rsidR="00986945" w:rsidRDefault="00986945" w:rsidP="003A435F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080808"/>
        </w:rPr>
      </w:pPr>
    </w:p>
    <w:p w14:paraId="6BB07846" w14:textId="77777777" w:rsidR="00986945" w:rsidRDefault="00986945" w:rsidP="003A435F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Cordialmente</w:t>
      </w:r>
    </w:p>
    <w:p w14:paraId="49B5C3D0" w14:textId="77777777" w:rsidR="00986945" w:rsidRDefault="00986945" w:rsidP="003A435F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080808"/>
        </w:rPr>
      </w:pPr>
    </w:p>
    <w:p w14:paraId="3EDDDBDA" w14:textId="77777777" w:rsidR="006A0C2B" w:rsidRDefault="006A0C2B" w:rsidP="00DF4F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80808"/>
        </w:rPr>
      </w:pPr>
    </w:p>
    <w:p w14:paraId="5356B1CB" w14:textId="7FDF9180" w:rsidR="00986945" w:rsidRPr="00DF4F2B" w:rsidRDefault="00986945" w:rsidP="00DF4F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80808"/>
        </w:rPr>
      </w:pPr>
      <w:r w:rsidRPr="00DF4F2B">
        <w:rPr>
          <w:rFonts w:ascii="Arial" w:hAnsi="Arial" w:cs="Arial"/>
          <w:b/>
          <w:bCs/>
          <w:color w:val="080808"/>
        </w:rPr>
        <w:t>DIEGO MAHECHA LADINO</w:t>
      </w:r>
    </w:p>
    <w:p w14:paraId="43B15B14" w14:textId="29EC9127" w:rsidR="006A57EF" w:rsidRDefault="00986945" w:rsidP="00DF4F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oppins" w:hAnsi="Poppins"/>
          <w:color w:val="080808"/>
          <w:sz w:val="21"/>
          <w:szCs w:val="21"/>
        </w:rPr>
      </w:pPr>
      <w:r>
        <w:rPr>
          <w:rFonts w:ascii="Arial" w:hAnsi="Arial" w:cs="Arial"/>
          <w:color w:val="080808"/>
        </w:rPr>
        <w:t xml:space="preserve">Profesional Control Interno </w:t>
      </w:r>
    </w:p>
    <w:p w14:paraId="4A071385" w14:textId="6576115D" w:rsidR="006A57EF" w:rsidRDefault="006A57EF" w:rsidP="006A57EF"/>
    <w:p w14:paraId="7D8509E1" w14:textId="73D8E88F" w:rsidR="006A0C2B" w:rsidRDefault="006A0C2B" w:rsidP="006A57EF"/>
    <w:p w14:paraId="635E9E79" w14:textId="3FF270C8" w:rsidR="006A0C2B" w:rsidRDefault="006A0C2B" w:rsidP="006A57EF"/>
    <w:p w14:paraId="52DD86EA" w14:textId="178DAC2E" w:rsidR="006A0C2B" w:rsidRDefault="006A0C2B" w:rsidP="006A57EF"/>
    <w:p w14:paraId="1B3F3FC3" w14:textId="647DED49" w:rsidR="006A0C2B" w:rsidRDefault="006A0C2B" w:rsidP="006A57EF"/>
    <w:p w14:paraId="4E04F45E" w14:textId="670BA213" w:rsidR="006A0C2B" w:rsidRDefault="006A0C2B" w:rsidP="006A57EF">
      <w:r>
        <w:t>Recibido;</w:t>
      </w:r>
    </w:p>
    <w:p w14:paraId="4455912A" w14:textId="21AEBF11" w:rsidR="006A0C2B" w:rsidRDefault="006A0C2B" w:rsidP="006A57EF"/>
    <w:p w14:paraId="47E4BB9A" w14:textId="2CFDE747" w:rsidR="006A0C2B" w:rsidRDefault="006A0C2B" w:rsidP="006A57EF"/>
    <w:p w14:paraId="3F066FEA" w14:textId="75003574" w:rsidR="006A0C2B" w:rsidRDefault="006A0C2B" w:rsidP="006A57EF"/>
    <w:p w14:paraId="240F8DFE" w14:textId="107C4A47" w:rsidR="006A0C2B" w:rsidRDefault="006A0C2B" w:rsidP="006A57EF"/>
    <w:p w14:paraId="0B3A5106" w14:textId="77777777" w:rsidR="006A0C2B" w:rsidRDefault="006A0C2B" w:rsidP="006A57EF"/>
    <w:p w14:paraId="03FDA1E0" w14:textId="3437B650" w:rsidR="006A0C2B" w:rsidRDefault="006A0C2B" w:rsidP="006A57EF"/>
    <w:p w14:paraId="5859EDC8" w14:textId="73427858" w:rsidR="006A0C2B" w:rsidRPr="006A0C2B" w:rsidRDefault="006A0C2B" w:rsidP="006A0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80808"/>
        </w:rPr>
      </w:pPr>
      <w:r w:rsidRPr="006A0C2B">
        <w:rPr>
          <w:rFonts w:ascii="Arial" w:hAnsi="Arial" w:cs="Arial"/>
          <w:b/>
          <w:bCs/>
          <w:color w:val="080808"/>
        </w:rPr>
        <w:t>ROSA JAZMIN DE ARMAS</w:t>
      </w:r>
    </w:p>
    <w:p w14:paraId="580FB763" w14:textId="41D6A88C" w:rsidR="006A0C2B" w:rsidRDefault="006A0C2B" w:rsidP="006A0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80808"/>
        </w:rPr>
      </w:pPr>
      <w:r w:rsidRPr="006A0C2B">
        <w:rPr>
          <w:rFonts w:ascii="Arial" w:hAnsi="Arial" w:cs="Arial"/>
          <w:bCs/>
          <w:color w:val="080808"/>
        </w:rPr>
        <w:t>Subdirec</w:t>
      </w:r>
      <w:r w:rsidR="00656FED">
        <w:rPr>
          <w:rFonts w:ascii="Arial" w:hAnsi="Arial" w:cs="Arial"/>
          <w:bCs/>
          <w:color w:val="080808"/>
        </w:rPr>
        <w:t>tora</w:t>
      </w:r>
      <w:r w:rsidRPr="006A0C2B">
        <w:rPr>
          <w:rFonts w:ascii="Arial" w:hAnsi="Arial" w:cs="Arial"/>
          <w:bCs/>
          <w:color w:val="080808"/>
        </w:rPr>
        <w:t xml:space="preserve"> Administrativa y Financiera</w:t>
      </w:r>
    </w:p>
    <w:p w14:paraId="7250CC2E" w14:textId="20B5FE5E" w:rsidR="006A0C2B" w:rsidRDefault="006A0C2B" w:rsidP="006A0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80808"/>
        </w:rPr>
      </w:pPr>
    </w:p>
    <w:p w14:paraId="00EC32B2" w14:textId="00618247" w:rsidR="006A0C2B" w:rsidRDefault="006A0C2B" w:rsidP="006A0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80808"/>
        </w:rPr>
      </w:pPr>
    </w:p>
    <w:p w14:paraId="37CF8655" w14:textId="2F61341F" w:rsidR="006A0C2B" w:rsidRDefault="006A0C2B" w:rsidP="006A0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80808"/>
        </w:rPr>
      </w:pPr>
    </w:p>
    <w:p w14:paraId="3F19510B" w14:textId="4946ED49" w:rsidR="006A0C2B" w:rsidRDefault="006A0C2B" w:rsidP="006A0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80808"/>
        </w:rPr>
      </w:pPr>
    </w:p>
    <w:p w14:paraId="4BCBF0A3" w14:textId="77777777" w:rsidR="006A0C2B" w:rsidRDefault="006A0C2B" w:rsidP="006A0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80808"/>
        </w:rPr>
      </w:pPr>
    </w:p>
    <w:p w14:paraId="32AEFA3E" w14:textId="6A105AE7" w:rsidR="006A0C2B" w:rsidRPr="006A0C2B" w:rsidRDefault="006A0C2B" w:rsidP="006A0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80808"/>
        </w:rPr>
      </w:pPr>
      <w:r>
        <w:rPr>
          <w:rFonts w:ascii="Arial" w:hAnsi="Arial" w:cs="Arial"/>
          <w:b/>
          <w:bCs/>
          <w:color w:val="080808"/>
        </w:rPr>
        <w:t>JAIME ORLANDO HERNANDEZ</w:t>
      </w:r>
    </w:p>
    <w:p w14:paraId="7DC2ECFE" w14:textId="6312E564" w:rsidR="006A0C2B" w:rsidRPr="006A0C2B" w:rsidRDefault="00656FED" w:rsidP="006A0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80808"/>
        </w:rPr>
      </w:pPr>
      <w:r>
        <w:rPr>
          <w:rFonts w:ascii="Arial" w:hAnsi="Arial" w:cs="Arial"/>
          <w:bCs/>
          <w:color w:val="080808"/>
        </w:rPr>
        <w:t>Subdirector</w:t>
      </w:r>
      <w:r w:rsidR="006A0C2B" w:rsidRPr="006A0C2B">
        <w:rPr>
          <w:rFonts w:ascii="Arial" w:hAnsi="Arial" w:cs="Arial"/>
          <w:bCs/>
          <w:color w:val="080808"/>
        </w:rPr>
        <w:t xml:space="preserve"> </w:t>
      </w:r>
      <w:r>
        <w:rPr>
          <w:rFonts w:ascii="Arial" w:hAnsi="Arial" w:cs="Arial"/>
          <w:bCs/>
          <w:color w:val="080808"/>
        </w:rPr>
        <w:t>Técnico</w:t>
      </w:r>
    </w:p>
    <w:p w14:paraId="4109DEA3" w14:textId="77777777" w:rsidR="006A0C2B" w:rsidRPr="006A0C2B" w:rsidRDefault="006A0C2B" w:rsidP="006A0C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80808"/>
        </w:rPr>
      </w:pPr>
    </w:p>
    <w:sectPr w:rsidR="006A0C2B" w:rsidRPr="006A0C2B" w:rsidSect="00A75F0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F7A60" w14:textId="77777777" w:rsidR="0089596C" w:rsidRDefault="0089596C" w:rsidP="00AB6BB4">
      <w:r>
        <w:separator/>
      </w:r>
    </w:p>
  </w:endnote>
  <w:endnote w:type="continuationSeparator" w:id="0">
    <w:p w14:paraId="67FE92BE" w14:textId="77777777" w:rsidR="0089596C" w:rsidRDefault="0089596C" w:rsidP="00AB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245"/>
      <w:gridCol w:w="1887"/>
    </w:tblGrid>
    <w:tr w:rsidR="00AB6BB4" w14:paraId="0BCECC9B" w14:textId="77777777" w:rsidTr="007C6606">
      <w:trPr>
        <w:trHeight w:val="142"/>
      </w:trPr>
      <w:tc>
        <w:tcPr>
          <w:tcW w:w="1696" w:type="dxa"/>
          <w:vAlign w:val="center"/>
        </w:tcPr>
        <w:p w14:paraId="69E66096" w14:textId="77777777" w:rsidR="00AB6BB4" w:rsidRDefault="00AB6BB4" w:rsidP="00AB6BB4">
          <w:pPr>
            <w:pStyle w:val="Piedepgina"/>
            <w:jc w:val="right"/>
            <w:rPr>
              <w:b/>
            </w:rPr>
          </w:pPr>
        </w:p>
      </w:tc>
      <w:tc>
        <w:tcPr>
          <w:tcW w:w="5245" w:type="dxa"/>
          <w:vAlign w:val="center"/>
        </w:tcPr>
        <w:p w14:paraId="46145872" w14:textId="77777777" w:rsidR="00AB6BB4" w:rsidRPr="00333BFB" w:rsidRDefault="00AB6BB4" w:rsidP="00AB6BB4">
          <w:pPr>
            <w:ind w:right="-63"/>
            <w:jc w:val="center"/>
            <w:rPr>
              <w:b/>
              <w:bCs/>
              <w:sz w:val="16"/>
              <w:szCs w:val="16"/>
              <w:lang w:val="es-CO"/>
            </w:rPr>
          </w:pPr>
        </w:p>
        <w:p w14:paraId="1591F438" w14:textId="77777777" w:rsidR="00AB6BB4" w:rsidRPr="00333BFB" w:rsidRDefault="00AB6BB4" w:rsidP="00AB6BB4">
          <w:pPr>
            <w:ind w:right="-63"/>
            <w:jc w:val="center"/>
            <w:rPr>
              <w:sz w:val="16"/>
              <w:szCs w:val="16"/>
              <w:lang w:val="es-CO"/>
            </w:rPr>
          </w:pPr>
          <w:r w:rsidRPr="00333BFB">
            <w:rPr>
              <w:sz w:val="16"/>
              <w:szCs w:val="16"/>
              <w:lang w:val="es-CO"/>
            </w:rPr>
            <w:t>Dirección: Carrera 41 – calle 5b Parque Urbanización Villa Bolívar</w:t>
          </w:r>
        </w:p>
        <w:p w14:paraId="1B52C3EA" w14:textId="77777777" w:rsidR="00AB6BB4" w:rsidRPr="00333BFB" w:rsidRDefault="00AB6BB4" w:rsidP="00AB6BB4">
          <w:pPr>
            <w:pStyle w:val="Piedepgina"/>
            <w:jc w:val="center"/>
            <w:rPr>
              <w:sz w:val="16"/>
              <w:szCs w:val="16"/>
              <w:lang w:val="es-CO"/>
            </w:rPr>
          </w:pPr>
          <w:r w:rsidRPr="00333BFB">
            <w:rPr>
              <w:sz w:val="16"/>
              <w:szCs w:val="16"/>
              <w:lang w:val="es-CO"/>
            </w:rPr>
            <w:t>Teléfono (+57) 663 10 62</w:t>
          </w:r>
        </w:p>
        <w:p w14:paraId="5132AAFE" w14:textId="77777777" w:rsidR="00AB6BB4" w:rsidRPr="00333BFB" w:rsidRDefault="00AB6BB4" w:rsidP="00AB6BB4">
          <w:pPr>
            <w:pStyle w:val="Piedepgina"/>
            <w:jc w:val="center"/>
            <w:rPr>
              <w:color w:val="0563C1" w:themeColor="hyperlink"/>
              <w:sz w:val="18"/>
              <w:u w:val="single"/>
              <w:lang w:val="es-CO"/>
            </w:rPr>
          </w:pPr>
          <w:r w:rsidRPr="00333BFB">
            <w:rPr>
              <w:sz w:val="16"/>
              <w:szCs w:val="16"/>
              <w:lang w:val="es-CO"/>
            </w:rPr>
            <w:t>Email: pqrsd@imdervillavicencio.gov.co</w:t>
          </w:r>
        </w:p>
      </w:tc>
      <w:tc>
        <w:tcPr>
          <w:tcW w:w="1887" w:type="dxa"/>
          <w:vAlign w:val="center"/>
        </w:tcPr>
        <w:p w14:paraId="1FD6BAF3" w14:textId="77777777" w:rsidR="00AB6BB4" w:rsidRPr="00881E79" w:rsidRDefault="00AB6BB4" w:rsidP="00AB6BB4">
          <w:pPr>
            <w:pStyle w:val="Piedepgina"/>
            <w:jc w:val="right"/>
            <w:rPr>
              <w:b/>
              <w:lang w:val="es-CO"/>
            </w:rPr>
          </w:pPr>
        </w:p>
      </w:tc>
    </w:tr>
  </w:tbl>
  <w:p w14:paraId="178BFEFF" w14:textId="77777777" w:rsidR="00AB6BB4" w:rsidRDefault="00AB6BB4" w:rsidP="00AB6BB4">
    <w:pPr>
      <w:pStyle w:val="Piedepgina"/>
      <w:tabs>
        <w:tab w:val="left" w:pos="6260"/>
      </w:tabs>
    </w:pPr>
  </w:p>
  <w:p w14:paraId="7E0D5F1C" w14:textId="77777777" w:rsidR="00AB6BB4" w:rsidRDefault="00AB6B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4A932" w14:textId="77777777" w:rsidR="0089596C" w:rsidRDefault="0089596C" w:rsidP="00AB6BB4">
      <w:r>
        <w:separator/>
      </w:r>
    </w:p>
  </w:footnote>
  <w:footnote w:type="continuationSeparator" w:id="0">
    <w:p w14:paraId="1B1B748D" w14:textId="77777777" w:rsidR="0089596C" w:rsidRDefault="0089596C" w:rsidP="00AB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B37F" w14:textId="6E5B7C78" w:rsidR="00AB6BB4" w:rsidRDefault="002956E6" w:rsidP="00AB6BB4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9A7D44" wp14:editId="26F105F3">
          <wp:simplePos x="0" y="0"/>
          <wp:positionH relativeFrom="column">
            <wp:posOffset>4991735</wp:posOffset>
          </wp:positionH>
          <wp:positionV relativeFrom="paragraph">
            <wp:posOffset>-237490</wp:posOffset>
          </wp:positionV>
          <wp:extent cx="1415415" cy="678815"/>
          <wp:effectExtent l="0" t="0" r="0" b="6985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3" r="4458"/>
                  <a:stretch/>
                </pic:blipFill>
                <pic:spPr bwMode="auto">
                  <a:xfrm>
                    <a:off x="0" y="0"/>
                    <a:ext cx="141541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5C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2C3BE6F" wp14:editId="30964E87">
          <wp:simplePos x="0" y="0"/>
          <wp:positionH relativeFrom="leftMargin">
            <wp:posOffset>197485</wp:posOffset>
          </wp:positionH>
          <wp:positionV relativeFrom="paragraph">
            <wp:posOffset>-255270</wp:posOffset>
          </wp:positionV>
          <wp:extent cx="641350" cy="704498"/>
          <wp:effectExtent l="0" t="0" r="6350" b="635"/>
          <wp:wrapTight wrapText="bothSides">
            <wp:wrapPolygon edited="0">
              <wp:start x="1925" y="0"/>
              <wp:lineTo x="0" y="1753"/>
              <wp:lineTo x="0" y="15776"/>
              <wp:lineTo x="1925" y="20451"/>
              <wp:lineTo x="4491" y="21035"/>
              <wp:lineTo x="8982" y="21035"/>
              <wp:lineTo x="12190" y="21035"/>
              <wp:lineTo x="16681" y="21035"/>
              <wp:lineTo x="19889" y="19867"/>
              <wp:lineTo x="21172" y="15192"/>
              <wp:lineTo x="21172" y="1753"/>
              <wp:lineTo x="19248" y="0"/>
              <wp:lineTo x="1925" y="0"/>
            </wp:wrapPolygon>
          </wp:wrapTight>
          <wp:docPr id="46" name="Imagen 46" descr="Resultado de imagen de escudo villavicenci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escudo villavicencio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0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5C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97CD38C" wp14:editId="16D0AB00">
          <wp:simplePos x="0" y="0"/>
          <wp:positionH relativeFrom="column">
            <wp:posOffset>-179705</wp:posOffset>
          </wp:positionH>
          <wp:positionV relativeFrom="paragraph">
            <wp:posOffset>5715</wp:posOffset>
          </wp:positionV>
          <wp:extent cx="1821600" cy="432000"/>
          <wp:effectExtent l="0" t="0" r="7620" b="635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D6B2E" w14:textId="5F9F6562" w:rsidR="00AB6BB4" w:rsidRDefault="00AB6B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1B0"/>
    <w:multiLevelType w:val="hybridMultilevel"/>
    <w:tmpl w:val="8870D430"/>
    <w:lvl w:ilvl="0" w:tplc="D1B6B240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30C62E4">
      <w:numFmt w:val="bullet"/>
      <w:lvlText w:val="•"/>
      <w:lvlJc w:val="left"/>
      <w:pPr>
        <w:ind w:left="1722" w:hanging="360"/>
      </w:pPr>
      <w:rPr>
        <w:rFonts w:hint="default"/>
        <w:lang w:val="es-ES" w:eastAsia="en-US" w:bidi="ar-SA"/>
      </w:rPr>
    </w:lvl>
    <w:lvl w:ilvl="2" w:tplc="194CE546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4988686A">
      <w:numFmt w:val="bullet"/>
      <w:lvlText w:val="•"/>
      <w:lvlJc w:val="left"/>
      <w:pPr>
        <w:ind w:left="3366" w:hanging="360"/>
      </w:pPr>
      <w:rPr>
        <w:rFonts w:hint="default"/>
        <w:lang w:val="es-ES" w:eastAsia="en-US" w:bidi="ar-SA"/>
      </w:rPr>
    </w:lvl>
    <w:lvl w:ilvl="4" w:tplc="22D82FF6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3BD6F450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6" w:tplc="4AD66D52">
      <w:numFmt w:val="bullet"/>
      <w:lvlText w:val="•"/>
      <w:lvlJc w:val="left"/>
      <w:pPr>
        <w:ind w:left="5832" w:hanging="360"/>
      </w:pPr>
      <w:rPr>
        <w:rFonts w:hint="default"/>
        <w:lang w:val="es-ES" w:eastAsia="en-US" w:bidi="ar-SA"/>
      </w:rPr>
    </w:lvl>
    <w:lvl w:ilvl="7" w:tplc="4984B0E2">
      <w:numFmt w:val="bullet"/>
      <w:lvlText w:val="•"/>
      <w:lvlJc w:val="left"/>
      <w:pPr>
        <w:ind w:left="6654" w:hanging="360"/>
      </w:pPr>
      <w:rPr>
        <w:rFonts w:hint="default"/>
        <w:lang w:val="es-ES" w:eastAsia="en-US" w:bidi="ar-SA"/>
      </w:rPr>
    </w:lvl>
    <w:lvl w:ilvl="8" w:tplc="598266A0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AB5EF5"/>
    <w:multiLevelType w:val="hybridMultilevel"/>
    <w:tmpl w:val="FFF06454"/>
    <w:lvl w:ilvl="0" w:tplc="813C61CA">
      <w:start w:val="3"/>
      <w:numFmt w:val="decimal"/>
      <w:lvlText w:val="%1."/>
      <w:lvlJc w:val="left"/>
      <w:pPr>
        <w:ind w:left="862" w:hanging="360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D7DCC1F6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80A48546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33327850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210C2FAC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425AF7E0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DB2E042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192E50D2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127ED052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6D91EB9"/>
    <w:multiLevelType w:val="hybridMultilevel"/>
    <w:tmpl w:val="9258AF28"/>
    <w:lvl w:ilvl="0" w:tplc="11F06FB4">
      <w:start w:val="1"/>
      <w:numFmt w:val="decimal"/>
      <w:lvlText w:val="%1."/>
      <w:lvlJc w:val="left"/>
      <w:pPr>
        <w:ind w:left="86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ADCE48DE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DE24C114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CCAA460A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545827B8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0D8270C0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F974917E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1772CB76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02E2EAA6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E39091E"/>
    <w:multiLevelType w:val="hybridMultilevel"/>
    <w:tmpl w:val="FFF06454"/>
    <w:lvl w:ilvl="0" w:tplc="813C61CA">
      <w:start w:val="3"/>
      <w:numFmt w:val="decimal"/>
      <w:lvlText w:val="%1."/>
      <w:lvlJc w:val="left"/>
      <w:pPr>
        <w:ind w:left="862" w:hanging="360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D7DCC1F6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80A48546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33327850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210C2FAC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425AF7E0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DB2E042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192E50D2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127ED052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AD76EA2"/>
    <w:multiLevelType w:val="hybridMultilevel"/>
    <w:tmpl w:val="098A7020"/>
    <w:lvl w:ilvl="0" w:tplc="FD60F37A">
      <w:start w:val="1"/>
      <w:numFmt w:val="decimal"/>
      <w:lvlText w:val="%1."/>
      <w:lvlJc w:val="left"/>
      <w:pPr>
        <w:ind w:left="862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1" w:tplc="1B7E06DE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B0A67846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80DA9D42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5A62D944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84145DDC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4D46E300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FBAA74EC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04CC5FCA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C534C0B"/>
    <w:multiLevelType w:val="hybridMultilevel"/>
    <w:tmpl w:val="FFF06454"/>
    <w:lvl w:ilvl="0" w:tplc="813C61CA">
      <w:start w:val="3"/>
      <w:numFmt w:val="decimal"/>
      <w:lvlText w:val="%1."/>
      <w:lvlJc w:val="left"/>
      <w:pPr>
        <w:ind w:left="862" w:hanging="360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D7DCC1F6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80A48546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33327850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210C2FAC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425AF7E0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DB2E042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192E50D2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127ED052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F"/>
    <w:rsid w:val="0011164F"/>
    <w:rsid w:val="002054E7"/>
    <w:rsid w:val="0021412E"/>
    <w:rsid w:val="002956E6"/>
    <w:rsid w:val="002A4877"/>
    <w:rsid w:val="003623CD"/>
    <w:rsid w:val="0037197D"/>
    <w:rsid w:val="003A435F"/>
    <w:rsid w:val="003C186A"/>
    <w:rsid w:val="0045732E"/>
    <w:rsid w:val="004E379B"/>
    <w:rsid w:val="00594A02"/>
    <w:rsid w:val="00656FED"/>
    <w:rsid w:val="00686C4A"/>
    <w:rsid w:val="006A0C2B"/>
    <w:rsid w:val="006A57EF"/>
    <w:rsid w:val="00704B77"/>
    <w:rsid w:val="00774E98"/>
    <w:rsid w:val="007A237B"/>
    <w:rsid w:val="0089596C"/>
    <w:rsid w:val="008B40A7"/>
    <w:rsid w:val="008D408C"/>
    <w:rsid w:val="00942D9F"/>
    <w:rsid w:val="00986945"/>
    <w:rsid w:val="009D5B17"/>
    <w:rsid w:val="00A75F09"/>
    <w:rsid w:val="00A76656"/>
    <w:rsid w:val="00A926F9"/>
    <w:rsid w:val="00AB6BB4"/>
    <w:rsid w:val="00B266C9"/>
    <w:rsid w:val="00B34D72"/>
    <w:rsid w:val="00B64E5F"/>
    <w:rsid w:val="00CF18AC"/>
    <w:rsid w:val="00DF4F2B"/>
    <w:rsid w:val="00E44225"/>
    <w:rsid w:val="00E9209B"/>
    <w:rsid w:val="00F00D01"/>
    <w:rsid w:val="00F56780"/>
    <w:rsid w:val="00FB5BFB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9180"/>
  <w15:chartTrackingRefBased/>
  <w15:docId w15:val="{7FA2A4C4-9E6A-42F8-93DC-6BC31A2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23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3623CD"/>
    <w:pPr>
      <w:ind w:left="862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B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BB4"/>
  </w:style>
  <w:style w:type="paragraph" w:styleId="Piedepgina">
    <w:name w:val="footer"/>
    <w:basedOn w:val="Normal"/>
    <w:link w:val="PiedepginaCar"/>
    <w:uiPriority w:val="99"/>
    <w:unhideWhenUsed/>
    <w:rsid w:val="00AB6B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BB4"/>
  </w:style>
  <w:style w:type="table" w:styleId="Tablaconcuadrcula">
    <w:name w:val="Table Grid"/>
    <w:basedOn w:val="Tablanormal"/>
    <w:uiPriority w:val="59"/>
    <w:rsid w:val="00AB6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40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0A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3623CD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623C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23CD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1412E"/>
    <w:pPr>
      <w:ind w:left="861" w:hanging="361"/>
    </w:pPr>
  </w:style>
  <w:style w:type="character" w:styleId="Hipervnculo">
    <w:name w:val="Hyperlink"/>
    <w:basedOn w:val="Fuentedeprrafopredeter"/>
    <w:uiPriority w:val="99"/>
    <w:unhideWhenUsed/>
    <w:rsid w:val="002956E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26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57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cionpublica.gov.co/eva/gestornormativo/norma.php?i=56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Usuario de Windows</cp:lastModifiedBy>
  <cp:revision>16</cp:revision>
  <cp:lastPrinted>2021-03-29T14:13:00Z</cp:lastPrinted>
  <dcterms:created xsi:type="dcterms:W3CDTF">2020-12-10T23:28:00Z</dcterms:created>
  <dcterms:modified xsi:type="dcterms:W3CDTF">2021-04-14T14:15:00Z</dcterms:modified>
</cp:coreProperties>
</file>